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3CE" w:rsidRPr="00163050" w:rsidRDefault="006163CE" w:rsidP="006163CE">
      <w:pPr>
        <w:widowControl/>
        <w:suppressAutoHyphens/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pacing w:val="-2"/>
          <w:sz w:val="22"/>
          <w:u w:val="single"/>
        </w:rPr>
      </w:pPr>
      <w:r w:rsidRPr="00163050">
        <w:rPr>
          <w:rFonts w:ascii="Times New Roman" w:eastAsia="Calibri" w:hAnsi="Times New Roman" w:cs="Times New Roman"/>
          <w:b/>
          <w:bCs/>
          <w:i/>
          <w:spacing w:val="-2"/>
          <w:sz w:val="22"/>
          <w:u w:val="single"/>
        </w:rPr>
        <w:t xml:space="preserve">МУНИЦИПАЛЬНОЕ БЮДЖЕТНОЕ ДОШКОЛЬНОЕ ОБЩЕОБРАЗОВАТЕЛЬНОЕ УЧРЕЖДЕНИЕ "ЛОЛОГОНИТЛИНСКИЙ ДЕТСКИЙ САД "ТАРХО" </w:t>
      </w:r>
    </w:p>
    <w:p w:rsidR="006163CE" w:rsidRPr="00163050" w:rsidRDefault="006163CE" w:rsidP="006163CE">
      <w:pPr>
        <w:widowControl/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</w:pPr>
      <w:r w:rsidRPr="00163050"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  <w:t>(наименование образовательной организации)</w:t>
      </w:r>
    </w:p>
    <w:p w:rsidR="006163CE" w:rsidRPr="00163050" w:rsidRDefault="006163CE" w:rsidP="006163CE">
      <w:pPr>
        <w:widowControl/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4"/>
        <w:gridCol w:w="4836"/>
      </w:tblGrid>
      <w:tr w:rsidR="006163CE" w:rsidRPr="00163050" w:rsidTr="008B59D3">
        <w:trPr>
          <w:trHeight w:val="2134"/>
        </w:trPr>
        <w:tc>
          <w:tcPr>
            <w:tcW w:w="4834" w:type="dxa"/>
            <w:tcBorders>
              <w:top w:val="triple" w:sz="4" w:space="0" w:color="44546A"/>
              <w:left w:val="triple" w:sz="4" w:space="0" w:color="44546A"/>
              <w:bottom w:val="triple" w:sz="4" w:space="0" w:color="44546A"/>
              <w:right w:val="triple" w:sz="4" w:space="0" w:color="44546A"/>
            </w:tcBorders>
          </w:tcPr>
          <w:p w:rsidR="006163CE" w:rsidRPr="00163050" w:rsidRDefault="006163CE" w:rsidP="008B59D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lang w:eastAsia="ar-SA"/>
              </w:rPr>
            </w:pPr>
          </w:p>
          <w:p w:rsidR="006163CE" w:rsidRPr="006163CE" w:rsidRDefault="006163CE" w:rsidP="006163C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  <w:r w:rsidRPr="006163C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  <w:t>ПРИНЯТО</w:t>
            </w:r>
          </w:p>
          <w:p w:rsidR="006163CE" w:rsidRPr="006163CE" w:rsidRDefault="006163CE" w:rsidP="006163C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6163CE" w:rsidRPr="00163050" w:rsidRDefault="006163CE" w:rsidP="006163CE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6163C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  <w:t xml:space="preserve">на педагогическом совете </w:t>
            </w:r>
            <w:r w:rsidRPr="00163050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_____________</w:t>
            </w:r>
          </w:p>
          <w:p w:rsidR="006163CE" w:rsidRPr="00163050" w:rsidRDefault="006163CE" w:rsidP="008B59D3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6163CE" w:rsidRPr="00163050" w:rsidRDefault="006163CE" w:rsidP="008B59D3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163050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№   _ от</w:t>
            </w:r>
            <w:r w:rsidRPr="00163050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ar-SA"/>
              </w:rPr>
              <w:t xml:space="preserve">  «___» _______________20___г</w:t>
            </w:r>
          </w:p>
        </w:tc>
        <w:tc>
          <w:tcPr>
            <w:tcW w:w="4836" w:type="dxa"/>
            <w:tcBorders>
              <w:top w:val="triple" w:sz="4" w:space="0" w:color="44546A"/>
              <w:left w:val="triple" w:sz="4" w:space="0" w:color="44546A"/>
              <w:bottom w:val="triple" w:sz="4" w:space="0" w:color="44546A"/>
              <w:right w:val="triple" w:sz="4" w:space="0" w:color="44546A"/>
            </w:tcBorders>
          </w:tcPr>
          <w:p w:rsidR="006163CE" w:rsidRPr="00163050" w:rsidRDefault="006163CE" w:rsidP="008B59D3">
            <w:pPr>
              <w:widowControl/>
              <w:suppressAutoHyphens/>
              <w:ind w:right="-285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6163CE" w:rsidRPr="00163050" w:rsidRDefault="006163CE" w:rsidP="008B59D3">
            <w:pPr>
              <w:widowControl/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  <w:r w:rsidRPr="00163050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  <w:t>УТВЕРЖДАЮ:</w:t>
            </w:r>
          </w:p>
          <w:p w:rsidR="006163CE" w:rsidRPr="00163050" w:rsidRDefault="006163CE" w:rsidP="008B59D3">
            <w:pPr>
              <w:widowControl/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6163CE" w:rsidRPr="00163050" w:rsidRDefault="006163CE" w:rsidP="008B59D3">
            <w:pPr>
              <w:widowControl/>
              <w:suppressAutoHyphens/>
              <w:ind w:left="179"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proofErr w:type="gramStart"/>
            <w:r w:rsidRPr="00163050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Заведующий  МБДОУ</w:t>
            </w:r>
            <w:proofErr w:type="gramEnd"/>
            <w:r w:rsidRPr="00163050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"Лологонитлинский Д/С "Тархо"</w:t>
            </w:r>
          </w:p>
          <w:p w:rsidR="006163CE" w:rsidRPr="00163050" w:rsidRDefault="006163CE" w:rsidP="008B59D3">
            <w:pPr>
              <w:widowControl/>
              <w:suppressAutoHyphens/>
              <w:ind w:left="179" w:right="-284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6163CE" w:rsidRPr="00163050" w:rsidRDefault="006163CE" w:rsidP="008B59D3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163050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____________________</w:t>
            </w:r>
            <w:r w:rsidRPr="00163050">
              <w:rPr>
                <w:sz w:val="22"/>
              </w:rPr>
              <w:t xml:space="preserve"> </w:t>
            </w:r>
            <w:proofErr w:type="spellStart"/>
            <w:r w:rsidRPr="00163050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Сулайманова</w:t>
            </w:r>
            <w:proofErr w:type="spellEnd"/>
            <w:r w:rsidRPr="00163050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А. С.</w:t>
            </w:r>
          </w:p>
          <w:p w:rsidR="006163CE" w:rsidRPr="00163050" w:rsidRDefault="006163CE" w:rsidP="008B59D3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163050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Введено в действие приказом   МБДОУ «Лологонитлинский Д/С «Тархо»</w:t>
            </w:r>
          </w:p>
          <w:p w:rsidR="006163CE" w:rsidRPr="00163050" w:rsidRDefault="006163CE" w:rsidP="008B59D3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proofErr w:type="gramStart"/>
            <w:r w:rsidRPr="00163050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от  «</w:t>
            </w:r>
            <w:proofErr w:type="gramEnd"/>
            <w:r w:rsidRPr="00163050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___» _______________20___г </w:t>
            </w:r>
          </w:p>
          <w:p w:rsidR="006163CE" w:rsidRPr="00163050" w:rsidRDefault="006163CE" w:rsidP="008B59D3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shd w:val="clear" w:color="auto" w:fill="FFFFFF"/>
                <w:lang w:eastAsia="ar-SA"/>
              </w:rPr>
            </w:pPr>
            <w:r w:rsidRPr="00163050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   </w:t>
            </w:r>
          </w:p>
        </w:tc>
      </w:tr>
    </w:tbl>
    <w:p w:rsidR="00296F1A" w:rsidRPr="00296F1A" w:rsidRDefault="00296F1A" w:rsidP="00296F1A">
      <w:pPr>
        <w:widowControl/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ar-SA"/>
        </w:rPr>
      </w:pPr>
    </w:p>
    <w:p w:rsidR="003F521E" w:rsidRPr="003F521E" w:rsidRDefault="003F521E" w:rsidP="003F521E">
      <w:pPr>
        <w:keepNext/>
        <w:keepLines/>
        <w:tabs>
          <w:tab w:val="left" w:pos="9923"/>
        </w:tabs>
        <w:spacing w:line="360" w:lineRule="auto"/>
        <w:ind w:right="-72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  <w:lang w:eastAsia="en-US"/>
        </w:rPr>
      </w:pPr>
    </w:p>
    <w:p w:rsidR="005F5A1B" w:rsidRPr="003F521E" w:rsidRDefault="005D2042" w:rsidP="003F521E">
      <w:pPr>
        <w:pStyle w:val="40"/>
        <w:shd w:val="clear" w:color="auto" w:fill="auto"/>
        <w:spacing w:before="0" w:after="0" w:line="360" w:lineRule="auto"/>
        <w:rPr>
          <w:sz w:val="28"/>
          <w:szCs w:val="28"/>
        </w:rPr>
      </w:pPr>
      <w:r w:rsidRPr="003F521E">
        <w:rPr>
          <w:sz w:val="28"/>
          <w:szCs w:val="28"/>
        </w:rPr>
        <w:t>ПОЛОЖЕНИЕ</w:t>
      </w:r>
    </w:p>
    <w:p w:rsidR="00FC01A2" w:rsidRPr="003F521E" w:rsidRDefault="005D2042" w:rsidP="003F521E">
      <w:pPr>
        <w:pStyle w:val="40"/>
        <w:shd w:val="clear" w:color="auto" w:fill="auto"/>
        <w:spacing w:before="0" w:after="0" w:line="360" w:lineRule="auto"/>
        <w:rPr>
          <w:sz w:val="28"/>
          <w:szCs w:val="28"/>
        </w:rPr>
      </w:pPr>
      <w:r w:rsidRPr="003F521E">
        <w:rPr>
          <w:sz w:val="28"/>
          <w:szCs w:val="28"/>
        </w:rPr>
        <w:t xml:space="preserve">о комиссии по распределению стимулирующей части фонда оплаты труда работников </w:t>
      </w:r>
      <w:r w:rsidR="006163CE" w:rsidRPr="006163CE">
        <w:rPr>
          <w:sz w:val="28"/>
          <w:szCs w:val="28"/>
        </w:rPr>
        <w:t>МБДОУ «Лологонитлинский Д/С «Тархо»</w:t>
      </w:r>
    </w:p>
    <w:p w:rsidR="006163CE" w:rsidRPr="006163CE" w:rsidRDefault="006163CE" w:rsidP="006163CE">
      <w:pPr>
        <w:widowControl/>
        <w:ind w:left="786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Общие положения</w:t>
      </w:r>
    </w:p>
    <w:p w:rsidR="006163CE" w:rsidRPr="006163CE" w:rsidRDefault="006163CE" w:rsidP="006163CE">
      <w:pPr>
        <w:widowControl/>
        <w:spacing w:after="200" w:line="276" w:lineRule="auto"/>
        <w:outlineLvl w:val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1.1.</w:t>
      </w: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Настоящее Положение о комиссии по распределению стимулирующей части фонда оплаты труда работников МБДОУ </w:t>
      </w:r>
      <w:proofErr w:type="gramStart"/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 (</w:t>
      </w:r>
      <w:proofErr w:type="gramEnd"/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далее - Положение) разработано в соответствии с постановлением Главы администрации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Положения о новой отраслевой систем оплаты труда работников</w:t>
      </w:r>
      <w:r w:rsidRPr="006163CE">
        <w:rPr>
          <w:rFonts w:ascii="Times New Roman" w:eastAsia="Arial Unicode MS" w:hAnsi="Times New Roman" w:cs="Times New Roman"/>
          <w:sz w:val="28"/>
          <w:szCs w:val="28"/>
        </w:rPr>
        <w:t xml:space="preserve"> муниципального бюджетного дошкольного образовательного учреждения.                                                                                   </w:t>
      </w:r>
    </w:p>
    <w:p w:rsidR="006163CE" w:rsidRPr="006163CE" w:rsidRDefault="006163CE" w:rsidP="006163CE">
      <w:pPr>
        <w:widowControl/>
        <w:spacing w:after="200" w:line="276" w:lineRule="auto"/>
        <w:outlineLvl w:val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1.2.</w:t>
      </w: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Положение определяет порядок работы </w:t>
      </w:r>
      <w:proofErr w:type="gramStart"/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Комиссии  по</w:t>
      </w:r>
      <w:proofErr w:type="gramEnd"/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распределению стимулирующей части фонда оплаты труда работников муниципального бюджетного дошкольного образовательного учреждения</w:t>
      </w:r>
      <w:r w:rsidRPr="006163CE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6163CE" w:rsidRPr="006163CE" w:rsidRDefault="006163CE" w:rsidP="006163C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6163CE" w:rsidRPr="006163CE" w:rsidRDefault="006163CE" w:rsidP="006163CE">
      <w:pPr>
        <w:autoSpaceDE w:val="0"/>
        <w:autoSpaceDN w:val="0"/>
        <w:adjustRightInd w:val="0"/>
        <w:ind w:firstLine="426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2. Задачи Комиссии по распределению </w:t>
      </w:r>
      <w:r w:rsidRPr="006163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компенсационных и стимулирующих</w:t>
      </w:r>
      <w:r w:rsidRPr="006163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выплат</w:t>
      </w:r>
      <w:r w:rsidRPr="006163CE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 xml:space="preserve"> </w:t>
      </w:r>
      <w:r w:rsidRPr="006163CE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для работников ДОУ </w:t>
      </w:r>
    </w:p>
    <w:p w:rsidR="006163CE" w:rsidRPr="006163CE" w:rsidRDefault="006163CE" w:rsidP="006163CE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</w:p>
    <w:p w:rsidR="006163CE" w:rsidRPr="006163CE" w:rsidRDefault="006163CE" w:rsidP="006163CE">
      <w:pPr>
        <w:widowControl/>
        <w:spacing w:line="240" w:lineRule="atLeast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2.1</w:t>
      </w:r>
      <w:r w:rsidRPr="006163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Комиссия создается с целью мониторинга и оценки качества работы работников МБДОУ. </w:t>
      </w:r>
    </w:p>
    <w:p w:rsidR="006163CE" w:rsidRPr="006163CE" w:rsidRDefault="006163CE" w:rsidP="006163C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Pr="006163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.2.</w:t>
      </w: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Работа по мере необходимости над совершенствованием критериев и показателей распределения компенсационных и стимулирующих выплат фонда заработной платы.</w:t>
      </w:r>
    </w:p>
    <w:p w:rsidR="006163CE" w:rsidRPr="006163CE" w:rsidRDefault="006163CE" w:rsidP="006163C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2.3.</w:t>
      </w: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gramStart"/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Отчет  о</w:t>
      </w:r>
      <w:proofErr w:type="gramEnd"/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деятельности Комиссии на общем  собрании работников ДОУ за истекший период (квартал, полугодие).</w:t>
      </w:r>
    </w:p>
    <w:p w:rsidR="006163CE" w:rsidRPr="006163CE" w:rsidRDefault="006163CE" w:rsidP="006163C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2.5.</w:t>
      </w: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Анализ конфликтных ситуации для внесения изменений в действующие положения.</w:t>
      </w:r>
    </w:p>
    <w:p w:rsidR="006163CE" w:rsidRPr="006163CE" w:rsidRDefault="006163CE" w:rsidP="006163C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6163CE" w:rsidRPr="006163CE" w:rsidRDefault="006163CE" w:rsidP="006163CE">
      <w:pPr>
        <w:widowControl/>
        <w:ind w:firstLine="426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3. Состав Комиссии и порядок ее работы</w:t>
      </w:r>
    </w:p>
    <w:p w:rsidR="006163CE" w:rsidRPr="006163CE" w:rsidRDefault="006163CE" w:rsidP="006163CE">
      <w:pPr>
        <w:widowControl/>
        <w:ind w:firstLine="426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6163CE" w:rsidRPr="006163CE" w:rsidRDefault="006163CE" w:rsidP="006163CE">
      <w:pPr>
        <w:widowControl/>
        <w:spacing w:line="240" w:lineRule="atLeast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3.1. </w:t>
      </w:r>
      <w:r w:rsidR="00EB40F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состав Комиссии включаю</w:t>
      </w: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тся представители работников.</w:t>
      </w:r>
    </w:p>
    <w:p w:rsidR="006163CE" w:rsidRPr="006163CE" w:rsidRDefault="006163CE" w:rsidP="006163CE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 xml:space="preserve"> Комиссия формируется из лиц, которые заинтересованы принять участие в ее деятельности.</w:t>
      </w:r>
    </w:p>
    <w:p w:rsidR="006163CE" w:rsidRPr="006163CE" w:rsidRDefault="006163CE" w:rsidP="006163CE">
      <w:pPr>
        <w:widowControl/>
        <w:spacing w:line="240" w:lineRule="atLeast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3.2.</w:t>
      </w: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Персональный состав Комиссии (нечетное число членов) определяется на собрании трудового коллектива открытым голосованием на текущий учебный год. На основании выписки из протокола собрания трудового коллектива руководитель </w:t>
      </w:r>
      <w:proofErr w:type="gramStart"/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ДОУ  издает</w:t>
      </w:r>
      <w:proofErr w:type="gramEnd"/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приказ «О составе Комиссии по распределению выплат компенсационного характера на текущий учебный год».</w:t>
      </w:r>
    </w:p>
    <w:p w:rsidR="006163CE" w:rsidRPr="006163CE" w:rsidRDefault="006163CE" w:rsidP="006163CE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6163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3.2.</w:t>
      </w: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Заседания комиссии по распределению баллов проводятся </w:t>
      </w:r>
      <w:r w:rsidR="00EB40F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ежемесячно</w:t>
      </w: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на. По распределению единовременных выплат – ежемесячно.</w:t>
      </w:r>
    </w:p>
    <w:p w:rsidR="006163CE" w:rsidRPr="006163CE" w:rsidRDefault="006163CE" w:rsidP="006163CE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3.3.</w:t>
      </w: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gramStart"/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Председателя  Комиссия</w:t>
      </w:r>
      <w:proofErr w:type="gramEnd"/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избирает на первом заседании. </w:t>
      </w:r>
    </w:p>
    <w:p w:rsidR="006163CE" w:rsidRPr="006163CE" w:rsidRDefault="006163CE" w:rsidP="006163CE">
      <w:pPr>
        <w:widowControl/>
        <w:spacing w:line="240" w:lineRule="atLeast"/>
        <w:jc w:val="both"/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/>
        </w:rPr>
      </w:pPr>
      <w:r w:rsidRPr="006163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3.3.1.</w:t>
      </w: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gramStart"/>
      <w:r w:rsidRPr="006163CE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/>
        </w:rPr>
        <w:t>Председатель  комиссии</w:t>
      </w:r>
      <w:proofErr w:type="gramEnd"/>
      <w:r w:rsidRPr="006163CE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/>
        </w:rPr>
        <w:t>:</w:t>
      </w:r>
    </w:p>
    <w:p w:rsidR="006163CE" w:rsidRPr="006163CE" w:rsidRDefault="006163CE" w:rsidP="006163CE">
      <w:pPr>
        <w:widowControl/>
        <w:spacing w:line="240" w:lineRule="atLeast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 проводит заседания комиссии;</w:t>
      </w:r>
    </w:p>
    <w:p w:rsidR="006163CE" w:rsidRPr="006163CE" w:rsidRDefault="006163CE" w:rsidP="006163CE">
      <w:pPr>
        <w:widowControl/>
        <w:spacing w:line="240" w:lineRule="atLeast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 распределяет обязанности между </w:t>
      </w:r>
      <w:proofErr w:type="gramStart"/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членами  комиссии</w:t>
      </w:r>
      <w:proofErr w:type="gramEnd"/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</w:p>
    <w:p w:rsidR="006163CE" w:rsidRPr="006163CE" w:rsidRDefault="006163CE" w:rsidP="006163CE">
      <w:pPr>
        <w:widowControl/>
        <w:spacing w:line="240" w:lineRule="atLeast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несет ответственность за оформление и хранение индивидуальных карт работников   в течение квартала.</w:t>
      </w:r>
    </w:p>
    <w:p w:rsidR="006163CE" w:rsidRPr="006163CE" w:rsidRDefault="006163CE" w:rsidP="006163CE">
      <w:pPr>
        <w:widowControl/>
        <w:spacing w:line="240" w:lineRule="atLeast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 предварительно изучает документы и представляет их на заседании комиссии;</w:t>
      </w:r>
    </w:p>
    <w:p w:rsidR="006163CE" w:rsidRPr="006163CE" w:rsidRDefault="006163CE" w:rsidP="00EB40F1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6163CE" w:rsidRPr="006163CE" w:rsidRDefault="006163CE" w:rsidP="006163CE">
      <w:pPr>
        <w:widowControl/>
        <w:spacing w:line="240" w:lineRule="atLeast"/>
        <w:jc w:val="both"/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/>
        </w:rPr>
      </w:pP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6163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3.4</w:t>
      </w: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6163CE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/>
        </w:rPr>
        <w:t>Комиссия:</w:t>
      </w:r>
    </w:p>
    <w:p w:rsidR="006163CE" w:rsidRPr="006163CE" w:rsidRDefault="006163CE" w:rsidP="006163CE">
      <w:pPr>
        <w:widowControl/>
        <w:spacing w:line="240" w:lineRule="atLeast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рассматривает материалы по самоанализу деятельности работников в соответствии с утвержденными критериями;</w:t>
      </w:r>
    </w:p>
    <w:p w:rsidR="006163CE" w:rsidRPr="006163CE" w:rsidRDefault="006163CE" w:rsidP="006163C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63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осуществляет анализ и оценку результатов мониторинга профессиональной деятельности работников по утвержденным критериям и показателям, позволяющий провести рейтинговый подсчет баллов, на основе которого производится определение размера выплат стимулирующего характера на следующий период. Кроме этого при установлении баллов по критериям, учитывается мнение родителей с помощью анкетирования.</w:t>
      </w:r>
    </w:p>
    <w:p w:rsidR="006163CE" w:rsidRPr="006163CE" w:rsidRDefault="006163CE" w:rsidP="006163CE">
      <w:pPr>
        <w:widowControl/>
        <w:spacing w:line="240" w:lineRule="atLeast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запрашивает дополнительную информацию о деятельности работника в пределах своей компетентности; </w:t>
      </w:r>
    </w:p>
    <w:p w:rsidR="006163CE" w:rsidRPr="006163CE" w:rsidRDefault="006163CE" w:rsidP="006163CE">
      <w:pPr>
        <w:widowControl/>
        <w:spacing w:line="240" w:lineRule="atLeast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принимает решения о соответствии деятельности работника требованиям к установлению размера или не </w:t>
      </w:r>
      <w:proofErr w:type="gramStart"/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назначении  выплат</w:t>
      </w:r>
      <w:proofErr w:type="gramEnd"/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стимулирующего характера; </w:t>
      </w:r>
    </w:p>
    <w:p w:rsidR="006163CE" w:rsidRPr="006163CE" w:rsidRDefault="006163CE" w:rsidP="006163CE">
      <w:pPr>
        <w:widowControl/>
        <w:spacing w:line="240" w:lineRule="atLeast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На основании всех </w:t>
      </w:r>
      <w:proofErr w:type="gramStart"/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материалов  комиссия</w:t>
      </w:r>
      <w:proofErr w:type="gramEnd"/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составляет  индивидуальную карту работника для определения размера стимулирующих выплат, оформляет сводный оценочный лист.</w:t>
      </w:r>
    </w:p>
    <w:p w:rsidR="006163CE" w:rsidRPr="006163CE" w:rsidRDefault="006163CE" w:rsidP="006163CE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руководители служб учреждения знакомят работников с данными карты под роспись. </w:t>
      </w:r>
    </w:p>
    <w:p w:rsidR="006163CE" w:rsidRPr="006163CE" w:rsidRDefault="006163CE" w:rsidP="006163CE">
      <w:pPr>
        <w:widowControl/>
        <w:spacing w:line="240" w:lineRule="atLeast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</w:t>
      </w:r>
      <w:proofErr w:type="gramStart"/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Утвержденный  комиссией</w:t>
      </w:r>
      <w:proofErr w:type="gramEnd"/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сводный оценочный лист  подписывается председателем и членами комиссии и  является приложением к  протоколу о выплатах стимулирующего характера. Протокол </w:t>
      </w:r>
      <w:proofErr w:type="gramStart"/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направляется  заведующему</w:t>
      </w:r>
      <w:proofErr w:type="gramEnd"/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ДОУ для рассмотрения и согласования в течение 3-х дней после заседания комиссии.</w:t>
      </w:r>
    </w:p>
    <w:p w:rsidR="006163CE" w:rsidRPr="006163CE" w:rsidRDefault="006163CE" w:rsidP="006163CE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63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3.5. </w:t>
      </w:r>
      <w:r w:rsidRPr="006163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основании протокола комиссии руководитель учреждения издает приказ о распределении выплат стимулирующего характера, а также обеспечивает гласность в вопросах определения подходов и критериев их установления. Не </w:t>
      </w:r>
      <w:proofErr w:type="gramStart"/>
      <w:r w:rsidRPr="006163CE">
        <w:rPr>
          <w:rFonts w:ascii="Times New Roman" w:eastAsia="Times New Roman" w:hAnsi="Times New Roman" w:cs="Times New Roman"/>
          <w:color w:val="auto"/>
          <w:sz w:val="28"/>
          <w:szCs w:val="28"/>
        </w:rPr>
        <w:t>назначение  выплат</w:t>
      </w:r>
      <w:proofErr w:type="gramEnd"/>
      <w:r w:rsidRPr="006163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стимулирующего характера после рассмотрения комиссией оформляется приказом руководителя учреждения с указанием периода и причин, повлекших не назначение данных выплат.</w:t>
      </w:r>
      <w:r w:rsidRPr="006163C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</w:p>
    <w:p w:rsidR="006163CE" w:rsidRPr="006163CE" w:rsidRDefault="006163CE" w:rsidP="006163CE">
      <w:pPr>
        <w:widowControl/>
        <w:spacing w:line="240" w:lineRule="atLeast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lastRenderedPageBreak/>
        <w:t>3.6.</w:t>
      </w: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В процессе рассмотрения индивидуальных карт работников комиссия осуществляет проверку подходов к оценке выплат стимулирующего характера по каждому работнику, подсчитывает количество набранных баллов </w:t>
      </w:r>
      <w:proofErr w:type="gramStart"/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каждым  работником</w:t>
      </w:r>
      <w:proofErr w:type="gramEnd"/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отдельно и общее количество баллов набранных работниками учреждения по категориям работников. </w:t>
      </w:r>
    </w:p>
    <w:p w:rsidR="006163CE" w:rsidRPr="006163CE" w:rsidRDefault="006163CE" w:rsidP="006163CE">
      <w:pPr>
        <w:widowControl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</w:rPr>
      </w:pPr>
      <w:r w:rsidRPr="006163CE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-  </w:t>
      </w:r>
      <w:r w:rsidRPr="006163CE">
        <w:rPr>
          <w:rFonts w:ascii="Times New Roman" w:eastAsia="Calibri" w:hAnsi="Times New Roman" w:cs="Times New Roman"/>
          <w:color w:val="auto"/>
          <w:sz w:val="28"/>
          <w:szCs w:val="28"/>
        </w:rPr>
        <w:t>Расчет стоимости одного балла производится следующим образом: сумма средств, предусмотренных на выплаты стимулирующего характера для каждой категории работников, делится на количество набранных работниками баллов.</w:t>
      </w:r>
    </w:p>
    <w:p w:rsidR="006163CE" w:rsidRPr="006163CE" w:rsidRDefault="006163CE" w:rsidP="006163CE">
      <w:pPr>
        <w:widowControl/>
        <w:tabs>
          <w:tab w:val="left" w:pos="1080"/>
        </w:tabs>
        <w:ind w:firstLine="720"/>
        <w:jc w:val="both"/>
        <w:outlineLvl w:val="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Исходя из количества набранных работником баллов, производится определение суммы выплат стимулирующего характера: стоимость одного балла умножается на количество установленных в индивидуальной карте работника баллов.</w:t>
      </w:r>
    </w:p>
    <w:p w:rsidR="006163CE" w:rsidRPr="006163CE" w:rsidRDefault="006163CE" w:rsidP="006163CE">
      <w:pPr>
        <w:widowControl/>
        <w:spacing w:line="240" w:lineRule="atLeast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3.7.</w:t>
      </w: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Комиссия принимает решение о размере постоянных выплат стимулирующего характера, устанавливаемых работникам учреждения, большинством голосов открытым голосованием при условии присутствия не менее половины членов комиссии. Решение комиссии оформляется протоколом.  </w:t>
      </w:r>
    </w:p>
    <w:p w:rsidR="006163CE" w:rsidRPr="006163CE" w:rsidRDefault="006163CE" w:rsidP="006163CE">
      <w:pPr>
        <w:widowControl/>
        <w:spacing w:line="240" w:lineRule="atLeast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Утвержденный  комиссией</w:t>
      </w:r>
      <w:proofErr w:type="gramEnd"/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сводный оценочный лист  подписывается председателем и членами комиссии и  является приложением к  протоколу о выплатах стимулирующего характера. Протокол </w:t>
      </w:r>
      <w:proofErr w:type="gramStart"/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направляется  заведующему</w:t>
      </w:r>
      <w:proofErr w:type="gramEnd"/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ДОУ для рассмотрения и согласования в течение 3-х дней после заседания комиссии.    </w:t>
      </w:r>
    </w:p>
    <w:p w:rsidR="006163CE" w:rsidRPr="006163CE" w:rsidRDefault="006163CE" w:rsidP="006163CE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3.8.</w:t>
      </w: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gramStart"/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Работник  вправе</w:t>
      </w:r>
      <w:proofErr w:type="gramEnd"/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подать в  комиссию обоснованное письменное заявление о своем несогласии с оценкой его профессиональной деятельности в течение 3 дней с момента ознакомления с индивидуальной картой</w:t>
      </w:r>
      <w:r w:rsidRPr="006163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для определения размера стимулирующих выплат. Комиссия обязана принять обоснованное письменное заявление работника о его несогласии с оценкой результативности его профессиональной деятельности. Комиссия обязана проверить обоснованность заявления работника и дать ему аргументированный ответ по результатам проверки в течение трех дней после принятия заявления работника. В случае установления в ходе проверки факта, повлекшего ошибочную оценку профессиональной деятельности работника, выраженную в оценочных баллах, Комиссия принимает меры для исправления допущенного ошибочного оценивания.</w:t>
      </w:r>
    </w:p>
    <w:p w:rsidR="006163CE" w:rsidRPr="006163CE" w:rsidRDefault="006163CE" w:rsidP="006163CE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3.8.1. </w:t>
      </w: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Комиссия рассматривает письменные обращения работников </w:t>
      </w:r>
      <w:proofErr w:type="gramStart"/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учреждения  по</w:t>
      </w:r>
      <w:proofErr w:type="gramEnd"/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вопросам выплат стимулирующего характера и по каждому письменному обращению принимает решение в сроки, определенные соответствующим локальным нормативным актом учреждения.</w:t>
      </w:r>
    </w:p>
    <w:p w:rsidR="006163CE" w:rsidRPr="006163CE" w:rsidRDefault="006163CE" w:rsidP="006163CE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3.9.</w:t>
      </w: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Комиссия представляет отчет о своей деятельности на общем собрании работников учреждения. Работники ДОУ дают оценку деятельности Комиссии и вносят по мере </w:t>
      </w:r>
      <w:proofErr w:type="gramStart"/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необходимости,</w:t>
      </w:r>
      <w:r w:rsidRPr="006163CE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предложения</w:t>
      </w:r>
      <w:proofErr w:type="gramEnd"/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по улучшению ее работы.</w:t>
      </w:r>
    </w:p>
    <w:p w:rsidR="006163CE" w:rsidRPr="006163CE" w:rsidRDefault="006163CE" w:rsidP="006163CE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6163CE" w:rsidRPr="006163CE" w:rsidRDefault="006163CE" w:rsidP="006163CE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4. Фонд стимулирования учреждения</w:t>
      </w:r>
    </w:p>
    <w:p w:rsidR="006163CE" w:rsidRPr="006163CE" w:rsidRDefault="006163CE" w:rsidP="006163CE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6163CE" w:rsidRPr="006163CE" w:rsidRDefault="006163CE" w:rsidP="006163CE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4.1.</w:t>
      </w: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Фонд стимулирования учреждения делится на две части:</w:t>
      </w:r>
    </w:p>
    <w:p w:rsidR="006163CE" w:rsidRPr="006163CE" w:rsidRDefault="006163CE" w:rsidP="006163CE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- 90% - </w:t>
      </w:r>
      <w:proofErr w:type="gramStart"/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фонд  следующих</w:t>
      </w:r>
      <w:proofErr w:type="gramEnd"/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видов стимулирующих выплат работникам учреждения: </w:t>
      </w:r>
    </w:p>
    <w:p w:rsidR="006163CE" w:rsidRPr="006163CE" w:rsidRDefault="006163CE" w:rsidP="006163CE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персональные стимулирующие надбавки, устанавливаемые на весь учебный год (определяются коллегиально руководителем и комиссией)</w:t>
      </w:r>
    </w:p>
    <w:p w:rsidR="006163CE" w:rsidRPr="006163CE" w:rsidRDefault="006163CE" w:rsidP="006163CE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 xml:space="preserve">- стимулирующие надбавки, начисляемые в зависимости от </w:t>
      </w:r>
      <w:proofErr w:type="gramStart"/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результатов  работы</w:t>
      </w:r>
      <w:proofErr w:type="gramEnd"/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 определенный период  (определяются Комиссией).</w:t>
      </w:r>
    </w:p>
    <w:p w:rsidR="006163CE" w:rsidRPr="006163CE" w:rsidRDefault="006163CE" w:rsidP="006163CE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- 10% - единовременные выплаты по условиям условия оплаты труда ежемесячно (определяются </w:t>
      </w:r>
      <w:proofErr w:type="gramStart"/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приказом  руководителем</w:t>
      </w:r>
      <w:proofErr w:type="gramEnd"/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ДОУ): используется для выплат, связанных  с дополнительной нагрузкой работников, с юбилеями, оказанием материальной помощи.</w:t>
      </w:r>
    </w:p>
    <w:p w:rsidR="006163CE" w:rsidRPr="006163CE" w:rsidRDefault="006163CE" w:rsidP="006163CE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4.2.</w:t>
      </w: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Оплата работы членов комиссии производится из стимулирующего фонда оплаты труда:</w:t>
      </w:r>
    </w:p>
    <w:p w:rsidR="006163CE" w:rsidRPr="006163CE" w:rsidRDefault="006163CE" w:rsidP="006163CE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Председатель комиссии - 10% от должностного оклада</w:t>
      </w:r>
    </w:p>
    <w:p w:rsidR="006163CE" w:rsidRPr="006163CE" w:rsidRDefault="006163CE" w:rsidP="006163CE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bookmarkStart w:id="0" w:name="_GoBack"/>
      <w:bookmarkEnd w:id="0"/>
      <w:r w:rsidRPr="006163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Члены комиссии – 5% от должностного оклада</w:t>
      </w:r>
    </w:p>
    <w:p w:rsidR="006163CE" w:rsidRPr="006163CE" w:rsidRDefault="006163CE" w:rsidP="006163CE">
      <w:pPr>
        <w:widowControl/>
        <w:shd w:val="clear" w:color="auto" w:fill="FFFFFF"/>
        <w:spacing w:line="240" w:lineRule="atLeast"/>
        <w:ind w:left="36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6163CE" w:rsidRPr="006163CE" w:rsidRDefault="006163CE" w:rsidP="006163CE">
      <w:pPr>
        <w:widowControl/>
        <w:shd w:val="clear" w:color="auto" w:fill="FFFFFF"/>
        <w:spacing w:line="240" w:lineRule="atLeast"/>
        <w:ind w:left="36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5. Делопроизводство</w:t>
      </w:r>
    </w:p>
    <w:p w:rsidR="006163CE" w:rsidRPr="006163CE" w:rsidRDefault="006163CE" w:rsidP="006163CE">
      <w:pPr>
        <w:widowControl/>
        <w:shd w:val="clear" w:color="auto" w:fill="FFFFFF"/>
        <w:spacing w:line="240" w:lineRule="atLeast"/>
        <w:ind w:left="7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163CE" w:rsidRPr="006163CE" w:rsidRDefault="006163CE" w:rsidP="006163CE">
      <w:pPr>
        <w:widowControl/>
        <w:shd w:val="clear" w:color="auto" w:fill="FFFFFF"/>
        <w:spacing w:line="240" w:lineRule="atLeast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sz w:val="28"/>
          <w:szCs w:val="28"/>
          <w:lang w:eastAsia="en-US"/>
        </w:rPr>
        <w:t>5.</w:t>
      </w:r>
      <w:proofErr w:type="gramStart"/>
      <w:r w:rsidRPr="006163CE">
        <w:rPr>
          <w:rFonts w:ascii="Times New Roman" w:eastAsia="Calibri" w:hAnsi="Times New Roman" w:cs="Times New Roman"/>
          <w:sz w:val="28"/>
          <w:szCs w:val="28"/>
          <w:lang w:eastAsia="en-US"/>
        </w:rPr>
        <w:t>1.Нумерация</w:t>
      </w:r>
      <w:proofErr w:type="gramEnd"/>
      <w:r w:rsidRPr="006163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протоколов ведется от начала учебного года.</w:t>
      </w:r>
    </w:p>
    <w:p w:rsidR="006163CE" w:rsidRPr="006163CE" w:rsidRDefault="006163CE" w:rsidP="006163CE">
      <w:pPr>
        <w:widowControl/>
        <w:shd w:val="clear" w:color="auto" w:fill="FFFFFF"/>
        <w:spacing w:line="240" w:lineRule="atLeast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sz w:val="28"/>
          <w:szCs w:val="28"/>
          <w:lang w:eastAsia="en-US"/>
        </w:rPr>
        <w:t>5.</w:t>
      </w:r>
      <w:proofErr w:type="gramStart"/>
      <w:r w:rsidRPr="006163CE">
        <w:rPr>
          <w:rFonts w:ascii="Times New Roman" w:eastAsia="Calibri" w:hAnsi="Times New Roman" w:cs="Times New Roman"/>
          <w:sz w:val="28"/>
          <w:szCs w:val="28"/>
          <w:lang w:eastAsia="en-US"/>
        </w:rPr>
        <w:t>2.Журнал</w:t>
      </w:r>
      <w:proofErr w:type="gramEnd"/>
      <w:r w:rsidRPr="006163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регистрации протоколов комиссии  нумеруется, прошивается и  скрепляется подписью заведую</w:t>
      </w:r>
      <w:r w:rsidRPr="006163CE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  <w:t>щей и печатью Учреждения.</w:t>
      </w:r>
    </w:p>
    <w:p w:rsidR="006163CE" w:rsidRPr="006163CE" w:rsidRDefault="006163CE" w:rsidP="006163CE">
      <w:pPr>
        <w:widowControl/>
        <w:shd w:val="clear" w:color="auto" w:fill="FFFFFF"/>
        <w:spacing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163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5.3. Журнал регистрации протоколов и протоколы </w:t>
      </w:r>
      <w:proofErr w:type="gramStart"/>
      <w:r w:rsidRPr="006163CE">
        <w:rPr>
          <w:rFonts w:ascii="Times New Roman" w:eastAsia="Calibri" w:hAnsi="Times New Roman" w:cs="Times New Roman"/>
          <w:sz w:val="28"/>
          <w:szCs w:val="28"/>
          <w:lang w:eastAsia="en-US"/>
        </w:rPr>
        <w:t>комиссии  хранятся</w:t>
      </w:r>
      <w:proofErr w:type="gramEnd"/>
      <w:r w:rsidRPr="006163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делах Учреждения 1 год, индивидуальные карты работников для определения размера выплат стимулирующего характера - 3 месяца.</w:t>
      </w:r>
    </w:p>
    <w:p w:rsidR="006163CE" w:rsidRPr="006163CE" w:rsidRDefault="006163CE" w:rsidP="006163CE">
      <w:pPr>
        <w:widowControl/>
        <w:shd w:val="clear" w:color="auto" w:fill="FFFFFF"/>
        <w:spacing w:line="240" w:lineRule="atLeast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3F521E" w:rsidRPr="003F521E" w:rsidRDefault="003F521E" w:rsidP="003F521E">
      <w:pPr>
        <w:tabs>
          <w:tab w:val="left" w:pos="1138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  <w:lang w:eastAsia="en-US"/>
        </w:rPr>
      </w:pPr>
    </w:p>
    <w:p w:rsidR="003F521E" w:rsidRPr="003F521E" w:rsidRDefault="003F521E" w:rsidP="003F521E">
      <w:pPr>
        <w:spacing w:line="360" w:lineRule="auto"/>
        <w:ind w:left="20"/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  <w:lang w:eastAsia="en-US"/>
        </w:rPr>
      </w:pPr>
      <w:r w:rsidRPr="003F521E"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  <w:lang w:eastAsia="en-US"/>
        </w:rPr>
        <w:t>С Положением ознакомлены:</w:t>
      </w:r>
    </w:p>
    <w:p w:rsidR="003F521E" w:rsidRPr="003F521E" w:rsidRDefault="003F521E" w:rsidP="003F521E">
      <w:pPr>
        <w:widowControl/>
        <w:tabs>
          <w:tab w:val="left" w:pos="567"/>
        </w:tabs>
        <w:suppressAutoHyphens/>
        <w:spacing w:line="360" w:lineRule="auto"/>
        <w:ind w:right="-285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F521E" w:rsidRPr="003F521E" w:rsidRDefault="003F521E" w:rsidP="003F521E">
      <w:pPr>
        <w:keepNext/>
        <w:keepLines/>
        <w:widowControl/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3F521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«___» __________________20___г</w:t>
      </w:r>
    </w:p>
    <w:p w:rsidR="003F521E" w:rsidRPr="003F521E" w:rsidRDefault="003F521E" w:rsidP="003F521E">
      <w:pPr>
        <w:keepNext/>
        <w:keepLines/>
        <w:widowControl/>
        <w:tabs>
          <w:tab w:val="center" w:pos="1701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3F521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_____________________________</w:t>
      </w:r>
      <w:r w:rsidRPr="003F521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3F521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3F521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  <w:t>_______________________</w:t>
      </w:r>
    </w:p>
    <w:p w:rsidR="003F521E" w:rsidRPr="003F521E" w:rsidRDefault="003F521E" w:rsidP="003F521E">
      <w:pPr>
        <w:keepNext/>
        <w:keepLines/>
        <w:widowControl/>
        <w:tabs>
          <w:tab w:val="center" w:pos="1701"/>
          <w:tab w:val="center" w:pos="7088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</w:pPr>
      <w:r w:rsidRPr="003F521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3F521E"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  <w:t>Подпись</w:t>
      </w:r>
      <w:r w:rsidRPr="003F521E"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  <w:tab/>
        <w:t xml:space="preserve"> расшифровка подписи</w:t>
      </w:r>
    </w:p>
    <w:p w:rsidR="003F521E" w:rsidRPr="003F521E" w:rsidRDefault="003F521E" w:rsidP="003F521E">
      <w:pPr>
        <w:keepNext/>
        <w:keepLines/>
        <w:widowControl/>
        <w:tabs>
          <w:tab w:val="center" w:pos="1701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</w:pPr>
    </w:p>
    <w:p w:rsidR="003F521E" w:rsidRDefault="003F521E" w:rsidP="003F521E">
      <w:pPr>
        <w:pStyle w:val="21"/>
        <w:shd w:val="clear" w:color="auto" w:fill="auto"/>
        <w:spacing w:after="531" w:line="274" w:lineRule="exact"/>
        <w:ind w:left="20" w:right="20" w:firstLine="720"/>
      </w:pPr>
    </w:p>
    <w:sectPr w:rsidR="003F521E">
      <w:footerReference w:type="default" r:id="rId7"/>
      <w:type w:val="continuous"/>
      <w:pgSz w:w="11909" w:h="16838"/>
      <w:pgMar w:top="1076" w:right="717" w:bottom="1105" w:left="7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0F3" w:rsidRDefault="009A00F3">
      <w:r>
        <w:separator/>
      </w:r>
    </w:p>
  </w:endnote>
  <w:endnote w:type="continuationSeparator" w:id="0">
    <w:p w:rsidR="009A00F3" w:rsidRDefault="009A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astasiaScript">
    <w:altName w:val="Sitka Small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23"/>
      <w:gridCol w:w="1047"/>
    </w:tblGrid>
    <w:tr w:rsidR="00250B4F">
      <w:tc>
        <w:tcPr>
          <w:tcW w:w="4500" w:type="pct"/>
          <w:tcBorders>
            <w:top w:val="single" w:sz="4" w:space="0" w:color="000000" w:themeColor="text1"/>
          </w:tcBorders>
        </w:tcPr>
        <w:p w:rsidR="00250B4F" w:rsidRPr="00250B4F" w:rsidRDefault="006163CE" w:rsidP="00250B4F">
          <w:pPr>
            <w:pStyle w:val="a7"/>
            <w:jc w:val="center"/>
            <w:rPr>
              <w:rFonts w:ascii="AnastasiaScript" w:hAnsi="AnastasiaScript"/>
            </w:rPr>
          </w:pPr>
          <w:r>
            <w:rPr>
              <w:rFonts w:ascii="AnastasiaScript" w:hAnsi="AnastasiaScript"/>
            </w:rPr>
            <w:t>МБДОУ «Лологонитлинский Д/С «Тархо»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250B4F" w:rsidRDefault="00250B4F">
          <w:pPr>
            <w:pStyle w:val="a5"/>
            <w:rPr>
              <w:color w:val="FFFFFF" w:themeColor="background1"/>
            </w:rPr>
          </w:pPr>
          <w:r>
            <w:rPr>
              <w:color w:val="auto"/>
            </w:rPr>
            <w:fldChar w:fldCharType="begin"/>
          </w:r>
          <w:r>
            <w:instrText>PAGE   \* MERGEFORMAT</w:instrText>
          </w:r>
          <w:r>
            <w:rPr>
              <w:color w:val="auto"/>
            </w:rPr>
            <w:fldChar w:fldCharType="separate"/>
          </w:r>
          <w:r w:rsidR="00EB40F1" w:rsidRPr="00EB40F1">
            <w:rPr>
              <w:noProof/>
              <w:color w:val="FFFFFF" w:themeColor="background1"/>
            </w:rPr>
            <w:t>4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250B4F" w:rsidRDefault="00250B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0F3" w:rsidRDefault="009A00F3"/>
  </w:footnote>
  <w:footnote w:type="continuationSeparator" w:id="0">
    <w:p w:rsidR="009A00F3" w:rsidRDefault="009A00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E4A8A"/>
    <w:multiLevelType w:val="multilevel"/>
    <w:tmpl w:val="C5BC731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F947FB"/>
    <w:multiLevelType w:val="multilevel"/>
    <w:tmpl w:val="71CE8BA6"/>
    <w:lvl w:ilvl="0">
      <w:start w:val="2"/>
      <w:numFmt w:val="decimal"/>
      <w:lvlText w:val="1.%1."/>
      <w:lvlJc w:val="left"/>
      <w:rPr>
        <w:rFonts w:ascii="CordiaUPC" w:eastAsia="CordiaUPC" w:hAnsi="CordiaUPC" w:cs="Cordi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067CC6"/>
    <w:multiLevelType w:val="multilevel"/>
    <w:tmpl w:val="1D6AC2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1B"/>
    <w:rsid w:val="000236D1"/>
    <w:rsid w:val="00047147"/>
    <w:rsid w:val="001A120F"/>
    <w:rsid w:val="00235D3C"/>
    <w:rsid w:val="00250B4F"/>
    <w:rsid w:val="00296F1A"/>
    <w:rsid w:val="003F521E"/>
    <w:rsid w:val="00406342"/>
    <w:rsid w:val="0041281F"/>
    <w:rsid w:val="004F7A4C"/>
    <w:rsid w:val="00533E14"/>
    <w:rsid w:val="00596887"/>
    <w:rsid w:val="005D2042"/>
    <w:rsid w:val="005F5A1B"/>
    <w:rsid w:val="006163CE"/>
    <w:rsid w:val="00693DA4"/>
    <w:rsid w:val="007B097D"/>
    <w:rsid w:val="008A67F9"/>
    <w:rsid w:val="00922118"/>
    <w:rsid w:val="00980817"/>
    <w:rsid w:val="009A00F3"/>
    <w:rsid w:val="009B7A7F"/>
    <w:rsid w:val="00AB68C0"/>
    <w:rsid w:val="00AD64C5"/>
    <w:rsid w:val="00AF7442"/>
    <w:rsid w:val="00C42B3E"/>
    <w:rsid w:val="00C67806"/>
    <w:rsid w:val="00D90D31"/>
    <w:rsid w:val="00D94B4A"/>
    <w:rsid w:val="00E034CB"/>
    <w:rsid w:val="00EB40F1"/>
    <w:rsid w:val="00F014AF"/>
    <w:rsid w:val="00F07E66"/>
    <w:rsid w:val="00F378C0"/>
    <w:rsid w:val="00FB07CF"/>
    <w:rsid w:val="00FC01A2"/>
    <w:rsid w:val="00FE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E9306"/>
  <w15:docId w15:val="{5122F147-BBFB-4FC4-ADD4-3944EFB3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179ED2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20"/>
      <w:szCs w:val="20"/>
      <w:u w:val="none"/>
    </w:rPr>
  </w:style>
  <w:style w:type="character" w:customStyle="1" w:styleId="Exact0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CenturyGothic13pt">
    <w:name w:val="Заголовок №1 + Century Gothic;13 pt;Полужирный"/>
    <w:basedOn w:val="1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CordiaUPC145pt0pt">
    <w:name w:val="Основной текст + CordiaUPC;14.5 pt;Полужирный;Интервал 0 pt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Impact9pt0pt">
    <w:name w:val="Основной текст + Impact;9 pt;Интервал 0 pt"/>
    <w:basedOn w:val="a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Constantia7pt-1pt">
    <w:name w:val="Основной текст + Constantia;7 pt;Курсив;Интервал -1 pt"/>
    <w:basedOn w:val="a4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-20"/>
      <w:w w:val="100"/>
      <w:position w:val="0"/>
      <w:sz w:val="14"/>
      <w:szCs w:val="14"/>
      <w:u w:val="none"/>
      <w:lang w:val="en-US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278" w:lineRule="exact"/>
      <w:ind w:hanging="1220"/>
      <w:jc w:val="both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60" w:line="269" w:lineRule="exact"/>
      <w:jc w:val="righ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240" w:line="0" w:lineRule="atLeast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48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120" w:after="4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250B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0B4F"/>
    <w:rPr>
      <w:color w:val="000000"/>
    </w:rPr>
  </w:style>
  <w:style w:type="paragraph" w:styleId="a7">
    <w:name w:val="footer"/>
    <w:basedOn w:val="a"/>
    <w:link w:val="a8"/>
    <w:uiPriority w:val="99"/>
    <w:unhideWhenUsed/>
    <w:rsid w:val="00250B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0B4F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50B4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0B4F"/>
    <w:rPr>
      <w:rFonts w:ascii="Tahoma" w:hAnsi="Tahoma" w:cs="Tahoma"/>
      <w:color w:val="000000"/>
      <w:sz w:val="16"/>
      <w:szCs w:val="16"/>
    </w:rPr>
  </w:style>
  <w:style w:type="paragraph" w:styleId="ab">
    <w:name w:val="List Paragraph"/>
    <w:basedOn w:val="a"/>
    <w:uiPriority w:val="34"/>
    <w:qFormat/>
    <w:rsid w:val="00616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2018-09-26T13:32:00Z</dcterms:created>
  <dcterms:modified xsi:type="dcterms:W3CDTF">2018-09-26T13:38:00Z</dcterms:modified>
</cp:coreProperties>
</file>