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62D5" w:rsidRPr="003762D5" w:rsidRDefault="003762D5" w:rsidP="003762D5">
      <w:pPr>
        <w:spacing w:after="0" w:line="240" w:lineRule="auto"/>
        <w:textAlignment w:val="top"/>
        <w:outlineLvl w:val="1"/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</w:pPr>
      <w:r w:rsidRPr="003762D5"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  <w:fldChar w:fldCharType="begin"/>
      </w:r>
      <w:r w:rsidRPr="003762D5"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  <w:instrText xml:space="preserve"> HYPERLINK "http://mbdou14-arm.ru/%d0%bc%d0%b0%d1%82%d0%b5%d1%80%d0%b8%d0%b0%d0%bb%d1%8c%d0%bd%d0%be-%d1%82%d0%b5%d1%85%d0%bd%d0%b8%d1%87%d0%b5%d1%81%d0%ba%d0%be%d0%b5-%d0%be%d0%b1%d0%b5%d1%81%d0%bf%d0%b5%d1%87%d0%b5%d0%bd%d0%b8%d0%b5/" \o "Постоянная ссылка на Материально-техническое обеспечение и оснащенность образовательного процесса" </w:instrText>
      </w:r>
      <w:r w:rsidRPr="003762D5"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  <w:fldChar w:fldCharType="separate"/>
      </w:r>
      <w:r w:rsidRPr="003762D5"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  <w:t>Материально-техническое обеспечение и оснащенность образовательного процесса</w:t>
      </w:r>
      <w:r w:rsidRPr="003762D5">
        <w:rPr>
          <w:rFonts w:ascii="Arial" w:eastAsia="Times New Roman" w:hAnsi="Arial" w:cs="Arial"/>
          <w:color w:val="CA2124"/>
          <w:spacing w:val="-15"/>
          <w:sz w:val="39"/>
          <w:szCs w:val="39"/>
          <w:lang w:eastAsia="ru-RU"/>
        </w:rPr>
        <w:fldChar w:fldCharType="end"/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детского сада одноэтажное, построенное в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— светлое,  имеется  центральное  отопление,  вода,  канализация, сантехническое  оборудование  в  удовлетворительном  состоянии.</w:t>
      </w:r>
    </w:p>
    <w:p w:rsidR="003762D5" w:rsidRPr="003762D5" w:rsidRDefault="003762D5" w:rsidP="004254EE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детского сада ограждена 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забором </w:t>
      </w:r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и территория ДОУ, соответствуют: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санитарно-эпидемиологическим требованиям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противопожарным правилам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правилам охраны труда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требованиям антитеррористической безопасности.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762D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Предметно-пространственная среда детского сада включает:</w:t>
      </w:r>
    </w:p>
    <w:p w:rsidR="003762D5" w:rsidRPr="003762D5" w:rsidRDefault="004254EE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помещения — 3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заведующего — 1</w:t>
      </w:r>
    </w:p>
    <w:p w:rsidR="003762D5" w:rsidRPr="003762D5" w:rsidRDefault="004254EE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кабинет медсестры-1 </w:t>
      </w:r>
    </w:p>
    <w:p w:rsidR="003762D5" w:rsidRDefault="003762D5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 — 1</w:t>
      </w:r>
    </w:p>
    <w:p w:rsidR="004254EE" w:rsidRDefault="004254EE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-1</w:t>
      </w:r>
    </w:p>
    <w:p w:rsidR="004254EE" w:rsidRDefault="004254EE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туалет-1</w:t>
      </w:r>
    </w:p>
    <w:p w:rsidR="004254EE" w:rsidRPr="003762D5" w:rsidRDefault="004254EE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color w:val="333333"/>
          <w:sz w:val="28"/>
          <w:szCs w:val="28"/>
          <w:shd w:val="clear" w:color="auto" w:fill="FFFFFF"/>
        </w:rPr>
        <w:t>Все кабинеты оформлены и материально оснащены.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b/>
          <w:bCs/>
          <w:i/>
          <w:iCs/>
          <w:color w:val="003366"/>
          <w:sz w:val="28"/>
          <w:szCs w:val="28"/>
          <w:lang w:eastAsia="ru-RU"/>
        </w:rPr>
        <w:t>Групповые помещения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группового помещения входят: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 -игровая (для проведения игр, ООД, ситуаций образовательного характера и приема пищи),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спальня,</w:t>
      </w:r>
    </w:p>
    <w:p w:rsidR="004254EE" w:rsidRDefault="003762D5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Групповые помещения оборудованы 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мебелью </w:t>
      </w:r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Расположени</w:t>
      </w:r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мебели </w:t>
      </w: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санитарно-гигиеническим нормам, технике безопасности и принципам психологического комфорта.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в группах, созданная в соответствии с ФГОС ДО, способствует развитию индивидуальности каждого ребенка с учетом его возможностей, уровня активности и интересов.</w:t>
      </w:r>
    </w:p>
    <w:p w:rsidR="004254EE" w:rsidRDefault="003762D5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предметно-пространственная среда гр</w:t>
      </w:r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 — содержательно-насыщенная.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центров детской активности в группах МБДОУ согласно ФГОС ДО: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Центр познавательной активности.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Назначение: стимулирование и развитие познавательной активности; развитие системы элементарных математических, экологических, естественно-научных представлений.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Центр речевой активности.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Назначение: развитие всех компонентов устной речи, грамматического строя речи, диалогической и монологической форм речи.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Центр социально-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коммуникативной .</w:t>
      </w:r>
      <w:proofErr w:type="gramEnd"/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Назначение: организация пространства для свободных видов деятельности детей, усвоения норм человеческого общежития.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b/>
          <w:bCs/>
          <w:i/>
          <w:iCs/>
          <w:color w:val="000080"/>
          <w:sz w:val="28"/>
          <w:szCs w:val="28"/>
          <w:lang w:eastAsia="ru-RU"/>
        </w:rPr>
        <w:t>Сведения об условиях охраны здоровья воспитанников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задач детского сада является сохранение и укрепление здоровья детей. 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 этой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подчинена вся деятельность ДОУ и её сотрудников.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персонал ДО наряду с администрацией несет ответственность за здоровье и физическое развитие детей, 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  лечебно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-профилактических мероприятий, соблюдение санитарно-гигиенических норм, режима и  обеспечение   качества питания.</w:t>
      </w:r>
    </w:p>
    <w:p w:rsidR="003762D5" w:rsidRPr="003762D5" w:rsidRDefault="004254EE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762D5"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детском</w:t>
      </w:r>
      <w:proofErr w:type="gramEnd"/>
      <w:r w:rsidR="003762D5"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имеется медицинский кабинет.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в детском саду осуществляет медицинская сестра, которая осуществляет</w:t>
      </w:r>
    </w:p>
    <w:p w:rsidR="003762D5" w:rsidRPr="003762D5" w:rsidRDefault="003762D5" w:rsidP="003762D5">
      <w:pPr>
        <w:numPr>
          <w:ilvl w:val="0"/>
          <w:numId w:val="1"/>
        </w:numPr>
        <w:spacing w:before="48" w:after="48" w:line="240" w:lineRule="atLeast"/>
        <w:ind w:left="63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санитарно-просветительской работы среди детей и родителей;</w:t>
      </w:r>
    </w:p>
    <w:p w:rsidR="003762D5" w:rsidRPr="003762D5" w:rsidRDefault="003762D5" w:rsidP="003762D5">
      <w:pPr>
        <w:numPr>
          <w:ilvl w:val="0"/>
          <w:numId w:val="1"/>
        </w:numPr>
        <w:spacing w:before="48" w:after="48" w:line="240" w:lineRule="atLeast"/>
        <w:ind w:left="63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доврачебной помощи детям при неотложных состояниях, организация правильной транспортировки;</w:t>
      </w:r>
    </w:p>
    <w:p w:rsidR="003762D5" w:rsidRPr="003762D5" w:rsidRDefault="003762D5" w:rsidP="003762D5">
      <w:pPr>
        <w:numPr>
          <w:ilvl w:val="0"/>
          <w:numId w:val="1"/>
        </w:numPr>
        <w:spacing w:before="48" w:after="48" w:line="240" w:lineRule="atLeast"/>
        <w:ind w:left="63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доврачебного этапа профилактических осмотров детей различного возраста;</w:t>
      </w:r>
    </w:p>
    <w:p w:rsidR="003762D5" w:rsidRPr="003762D5" w:rsidRDefault="003762D5" w:rsidP="003762D5">
      <w:pPr>
        <w:numPr>
          <w:ilvl w:val="0"/>
          <w:numId w:val="1"/>
        </w:numPr>
        <w:spacing w:before="48" w:after="48" w:line="240" w:lineRule="atLeast"/>
        <w:ind w:left="63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ежедневного контроля за: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созданием </w:t>
      </w:r>
      <w:proofErr w:type="spell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гигиенических условий;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соблюдением санитарного режима в ДОУ;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правильным и своевременным выполнением режимных моментов;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осуществлением своевременного прохождения медицинских осмотров сотрудниками;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питанием (санитарно-гигиеническое состояние пищеблока, составление меню, бракераж готовой продукции и т.д.).</w:t>
      </w:r>
    </w:p>
    <w:p w:rsidR="003762D5" w:rsidRPr="003762D5" w:rsidRDefault="004254EE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МБДОУ </w:t>
      </w:r>
      <w:r w:rsidR="003762D5"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 следующими компонентами:</w:t>
      </w:r>
    </w:p>
    <w:p w:rsidR="004254EE" w:rsidRDefault="003762D5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Круглосуточным дежурством сторожей — 3 человека;</w:t>
      </w: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Проверкой педагогических работников на право заниматься педагогической деятельностью (наличие справки о судимости);</w:t>
      </w: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видеонаблюдение: круглосуточно</w:t>
      </w:r>
      <w:r w:rsidR="0042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камера видеонаблюдения.</w:t>
      </w:r>
    </w:p>
    <w:p w:rsidR="004254EE" w:rsidRDefault="003762D5" w:rsidP="003762D5">
      <w:pPr>
        <w:spacing w:before="120" w:after="12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хранения данных на видеорегистраторе составляет более 60 суток. Монитор отображения камер видеонаблюдения расположен в фойе детского сада.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3762D5">
        <w:rPr>
          <w:rFonts w:ascii="Arial" w:eastAsia="Times New Roman" w:hAnsi="Arial" w:cs="Arial"/>
          <w:b/>
          <w:bCs/>
          <w:i/>
          <w:iCs/>
          <w:color w:val="003366"/>
          <w:sz w:val="28"/>
          <w:szCs w:val="28"/>
          <w:lang w:eastAsia="ru-RU"/>
        </w:rPr>
        <w:t>Условия питания 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организовано 4 — х разовое питание: завтрак, второй завтрак, обед, полдник. В течение года дети учреждения получают овощи и фрукты. В соответствии с требованиями СанПиН 2.4.1.3049-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 в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 разработано примерное 10-ти дневное меню, утвержденное руководителем дошкольной образовательной организации, с учетом физиологических потребностей в энергии и пищевых веществах для детей   от 3 лет до 7 лет. Блюда готовятся согласно технологическим картам установленного образца. Особое внимание уделяется контролю за качеством и сроками реализации поставляемых продуктов.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Пищеблок </w:t>
      </w: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  необходимым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технологическим оборудованием.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b/>
          <w:bCs/>
          <w:i/>
          <w:iCs/>
          <w:color w:val="003366"/>
          <w:sz w:val="28"/>
          <w:szCs w:val="28"/>
          <w:lang w:eastAsia="ru-RU"/>
        </w:rPr>
        <w:t>Медицинский кабинет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 систематического</w:t>
      </w:r>
      <w:proofErr w:type="gramEnd"/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планового медицинского обслуживания детей (проведение медосмотров воспитанников,  оказание первой до врачебной медицинской помощи). Оснащение медицинского блока регламентируется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блок оборудован в соответствии с санитарными нормами:</w:t>
      </w:r>
    </w:p>
    <w:p w:rsidR="003762D5" w:rsidRPr="003762D5" w:rsidRDefault="003762D5" w:rsidP="00722586">
      <w:pPr>
        <w:spacing w:before="120" w:after="120" w:line="240" w:lineRule="atLeast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</w:p>
    <w:p w:rsidR="003762D5" w:rsidRPr="003762D5" w:rsidRDefault="003762D5" w:rsidP="003762D5">
      <w:pPr>
        <w:numPr>
          <w:ilvl w:val="1"/>
          <w:numId w:val="2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специальным оборудованием и инструментарием;</w:t>
      </w:r>
    </w:p>
    <w:p w:rsidR="003762D5" w:rsidRPr="003762D5" w:rsidRDefault="003762D5" w:rsidP="003762D5">
      <w:pPr>
        <w:numPr>
          <w:ilvl w:val="1"/>
          <w:numId w:val="2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 перевязочным и вспомогательным материалом;</w:t>
      </w:r>
    </w:p>
    <w:p w:rsidR="003762D5" w:rsidRPr="003762D5" w:rsidRDefault="003762D5" w:rsidP="003762D5">
      <w:pPr>
        <w:numPr>
          <w:ilvl w:val="1"/>
          <w:numId w:val="2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специальной мебелью.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медсестры в установленном порядке хранятся:</w:t>
      </w:r>
    </w:p>
    <w:p w:rsidR="003762D5" w:rsidRPr="003762D5" w:rsidRDefault="003762D5" w:rsidP="003762D5">
      <w:pPr>
        <w:numPr>
          <w:ilvl w:val="0"/>
          <w:numId w:val="3"/>
        </w:numPr>
        <w:spacing w:before="120" w:after="120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</w:p>
    <w:p w:rsidR="003762D5" w:rsidRPr="003762D5" w:rsidRDefault="003762D5" w:rsidP="003762D5">
      <w:pPr>
        <w:numPr>
          <w:ilvl w:val="1"/>
          <w:numId w:val="3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документация в соответствии с номенклатурой дел;</w:t>
      </w:r>
    </w:p>
    <w:p w:rsidR="003762D5" w:rsidRPr="003762D5" w:rsidRDefault="003762D5" w:rsidP="003762D5">
      <w:pPr>
        <w:numPr>
          <w:ilvl w:val="1"/>
          <w:numId w:val="3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карты детей (форма № 026/у-2000);</w:t>
      </w:r>
    </w:p>
    <w:p w:rsidR="003762D5" w:rsidRPr="003762D5" w:rsidRDefault="003762D5" w:rsidP="003762D5">
      <w:pPr>
        <w:numPr>
          <w:ilvl w:val="1"/>
          <w:numId w:val="3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 о профилактических прививках детей (форма № 156/у-93);</w:t>
      </w:r>
    </w:p>
    <w:p w:rsidR="003762D5" w:rsidRPr="003762D5" w:rsidRDefault="003762D5" w:rsidP="003762D5">
      <w:pPr>
        <w:numPr>
          <w:ilvl w:val="1"/>
          <w:numId w:val="3"/>
        </w:numPr>
        <w:spacing w:before="48" w:after="48" w:line="240" w:lineRule="atLeast"/>
        <w:ind w:left="1110"/>
        <w:textAlignment w:val="top"/>
        <w:rPr>
          <w:rFonts w:ascii="Arial" w:eastAsia="Times New Roman" w:hAnsi="Arial" w:cs="Arial"/>
          <w:color w:val="322442"/>
          <w:sz w:val="21"/>
          <w:szCs w:val="21"/>
          <w:lang w:eastAsia="ru-RU"/>
        </w:rPr>
      </w:pPr>
      <w:r w:rsidRPr="00376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медицинские (санитарные) книжки сотрудников и др.</w:t>
      </w:r>
    </w:p>
    <w:p w:rsidR="003762D5" w:rsidRPr="003762D5" w:rsidRDefault="003762D5" w:rsidP="003762D5">
      <w:pPr>
        <w:spacing w:before="240" w:after="24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1C5CB0"/>
          <w:sz w:val="27"/>
          <w:szCs w:val="27"/>
          <w:lang w:eastAsia="ru-RU"/>
        </w:rPr>
      </w:pPr>
      <w:r w:rsidRPr="003762D5">
        <w:rPr>
          <w:rFonts w:ascii="Arial" w:eastAsia="Times New Roman" w:hAnsi="Arial" w:cs="Arial"/>
          <w:b/>
          <w:bCs/>
          <w:i/>
          <w:iCs/>
          <w:color w:val="003366"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tbl>
      <w:tblPr>
        <w:tblW w:w="81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5445"/>
        <w:gridCol w:w="1815"/>
      </w:tblGrid>
      <w:tr w:rsidR="003762D5" w:rsidRPr="003762D5" w:rsidTr="00722586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№ п/п</w:t>
            </w:r>
          </w:p>
        </w:tc>
        <w:tc>
          <w:tcPr>
            <w:tcW w:w="544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Наличие оборудования</w:t>
            </w:r>
          </w:p>
        </w:tc>
        <w:tc>
          <w:tcPr>
            <w:tcW w:w="18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наличие</w:t>
            </w:r>
          </w:p>
        </w:tc>
      </w:tr>
      <w:tr w:rsidR="003762D5" w:rsidRPr="003762D5" w:rsidTr="00722586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544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Доступ к сети интернет</w:t>
            </w:r>
          </w:p>
        </w:tc>
        <w:tc>
          <w:tcPr>
            <w:tcW w:w="18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есть</w:t>
            </w:r>
          </w:p>
        </w:tc>
      </w:tr>
      <w:tr w:rsidR="003762D5" w:rsidRPr="003762D5" w:rsidTr="00722586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544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Компьютеры</w:t>
            </w:r>
          </w:p>
        </w:tc>
        <w:tc>
          <w:tcPr>
            <w:tcW w:w="18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72258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2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="00722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3762D5" w:rsidRPr="003762D5" w:rsidTr="00722586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544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Принтер, сканер, копир (черно-белый)</w:t>
            </w:r>
          </w:p>
        </w:tc>
        <w:tc>
          <w:tcPr>
            <w:tcW w:w="18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722586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3762D5" w:rsidRPr="003762D5" w:rsidTr="00722586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544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Мультимедийная установка</w:t>
            </w:r>
          </w:p>
        </w:tc>
        <w:tc>
          <w:tcPr>
            <w:tcW w:w="18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722586" w:rsidP="0072258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шт.</w:t>
            </w:r>
          </w:p>
        </w:tc>
      </w:tr>
      <w:tr w:rsidR="003762D5" w:rsidRPr="003762D5" w:rsidTr="00722586">
        <w:tc>
          <w:tcPr>
            <w:tcW w:w="0" w:type="auto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722586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544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Цветной принтер, сканер, копир.</w:t>
            </w:r>
          </w:p>
        </w:tc>
        <w:tc>
          <w:tcPr>
            <w:tcW w:w="18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2D5" w:rsidRPr="003762D5" w:rsidRDefault="003762D5" w:rsidP="003762D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 шт.</w:t>
            </w:r>
          </w:p>
        </w:tc>
      </w:tr>
    </w:tbl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762D5" w:rsidRPr="003762D5" w:rsidRDefault="003762D5" w:rsidP="003762D5">
      <w:pPr>
        <w:spacing w:before="120" w:after="12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62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8730B" w:rsidRDefault="0038730B"/>
    <w:sectPr w:rsidR="0038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6C7"/>
    <w:multiLevelType w:val="multilevel"/>
    <w:tmpl w:val="0F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11867"/>
    <w:multiLevelType w:val="multilevel"/>
    <w:tmpl w:val="AF76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F5A44"/>
    <w:multiLevelType w:val="multilevel"/>
    <w:tmpl w:val="4A7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DF"/>
    <w:rsid w:val="003762D5"/>
    <w:rsid w:val="0038730B"/>
    <w:rsid w:val="004254EE"/>
    <w:rsid w:val="00722586"/>
    <w:rsid w:val="00782FDF"/>
    <w:rsid w:val="008206AB"/>
    <w:rsid w:val="00841AC2"/>
    <w:rsid w:val="00D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7FBBB-250E-45F3-96DC-56FFCC25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950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2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94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2018-08-01T15:03:00Z</dcterms:created>
  <dcterms:modified xsi:type="dcterms:W3CDTF">2018-08-01T15:03:00Z</dcterms:modified>
</cp:coreProperties>
</file>